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B2A4A" w:color="auto" w:val="clear"/>
            <w:tcMar>
              <w:top w:type="dxa" w:w="260"/>
              <w:left w:type="dxa" w:w="300"/>
              <w:bottom w:type="dxa" w:w="260"/>
              <w:right w:type="dxa" w:w="300"/>
            </w:tcMar>
          </w:tcPr>
          <w:p>
            <w:pPr>
              <w:spacing w:after="40"/>
            </w:pPr>
            <w:r>
              <w:rPr>
                <w:rFonts w:ascii="Georgia" w:cs="Georgia" w:eastAsia="Georgia" w:hAnsi="Georgia"/>
                <w:b/>
                <w:bCs/>
                <w:color w:val="FFFFFF"/>
                <w:sz w:val="36"/>
                <w:szCs w:val="36"/>
              </w:rPr>
              <w:t xml:space="preserve">VMM CAPITAL</w:t>
            </w:r>
          </w:p>
          <w:p>
            <w:pPr>
              <w:spacing w:after="0"/>
            </w:pPr>
            <w:r>
              <w:rPr>
                <w:color w:val="B8963E"/>
                <w:spacing w:val="40"/>
                <w:sz w:val="18"/>
                <w:szCs w:val="18"/>
              </w:rPr>
              <w:t xml:space="preserve">VALUE MASTERS MERCHANT CAPITAL</w:t>
            </w:r>
          </w:p>
        </w:tc>
      </w:tr>
    </w:tbl>
    <w:p>
      <w:pPr>
        <w:spacing w:after="120" w:before="1900"/>
      </w:pPr>
      <w:r>
        <w:rPr>
          <w:b/>
          <w:bCs/>
          <w:color w:val="B8963E"/>
          <w:spacing w:val="60"/>
          <w:sz w:val="22"/>
          <w:szCs w:val="22"/>
        </w:rPr>
        <w:t xml:space="preserve">STRATEGIC MEMO ARCHIVE</w:t>
      </w:r>
    </w:p>
    <w:p>
      <w:pPr>
        <w:pBdr>
          <w:bottom w:val="single" w:color="B8963E" w:sz="12" w:space="10"/>
        </w:pBdr>
        <w:spacing w:after="160"/>
      </w:pPr>
      <w:r>
        <w:rPr>
          <w:rFonts w:ascii="Georgia" w:cs="Georgia" w:eastAsia="Georgia" w:hAnsi="Georgia"/>
          <w:b/>
          <w:bCs/>
          <w:color w:val="1B2A4A"/>
          <w:sz w:val="52"/>
          <w:szCs w:val="52"/>
        </w:rPr>
        <w:t xml:space="preserve">OnQ Solutions and the Paul Chaupis Relationship</w:t>
      </w:r>
    </w:p>
    <w:p>
      <w:pPr>
        <w:spacing w:after="900" w:before="160"/>
      </w:pPr>
      <w:r>
        <w:rPr>
          <w:color w:val="5A6270"/>
          <w:sz w:val="24"/>
          <w:szCs w:val="24"/>
        </w:rPr>
        <w:t xml:space="preserve">A Level Alliances LLC (ALA) U.S. market entry. Consolidated file of valuation, LOI, advisory, partner and relationship memos.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Reference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VMM-ONQ-ARC-2026-001</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Date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October 2, 2026</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Prepared by</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VMM Capital, buy-side strategic advisor to ALA</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Classification</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RESTRICTED. Internal use by ALA and VMM Capital only</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Basis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Compiled from project records. Last record update: September 17, 2026</w:t>
            </w:r>
          </w:p>
        </w:tc>
      </w:tr>
    </w:tbl>
    <w:p>
      <w:pPr>
        <w:pStyle w:val="Heading1"/>
        <w:pageBreakBefore/>
        <w:outlineLvl w:val="0"/>
      </w:pPr>
      <w:bookmarkStart w:name="index" w:id="1"/>
      <w:r>
        <w:t xml:space="preserve">Index</w:t>
      </w:r>
      <w:bookmarkEnd w:id="1"/>
    </w:p>
    <w:p>
      <w:pPr>
        <w:spacing w:after="120" w:line="276"/>
      </w:pPr>
      <w:r>
        <w:t xml:space="preserve">Click any title to jump to that memo. Every memo ends with a link back to this page.</w:t>
      </w:r>
    </w:p>
    <w:p>
      <w:pPr>
        <w:spacing w:after="100"/>
      </w:pPr>
    </w:p>
    <w:p>
      <w:pPr>
        <w:tabs>
          <w:tab w:val="right" w:pos="9360" w:leader="dot"/>
        </w:tabs>
        <w:spacing w:after="110"/>
      </w:pPr>
      <w:hyperlink w:history="1" w:anchor="s1">
        <w:r>
          <w:rPr>
            <w:color w:val="1B2A4A"/>
            <w:sz w:val="22"/>
            <w:szCs w:val="22"/>
          </w:rPr>
          <w:t xml:space="preserve">1. Executive Summary</w:t>
        </w:r>
      </w:hyperlink>
      <w:r>
        <w:tab/>
      </w:r>
      <w:fldSimple w:instr="PAGEREF s1 \h">
        <w:r>
          <w:t xml:space="preserve">3</w:t>
        </w:r>
      </w:fldSimple>
    </w:p>
    <w:p>
      <w:pPr>
        <w:tabs>
          <w:tab w:val="right" w:pos="9360" w:leader="dot"/>
        </w:tabs>
        <w:spacing w:after="110"/>
      </w:pPr>
      <w:hyperlink w:history="1" w:anchor="s2">
        <w:r>
          <w:rPr>
            <w:color w:val="1B2A4A"/>
            <w:sz w:val="22"/>
            <w:szCs w:val="22"/>
          </w:rPr>
          <w:t xml:space="preserve">2. Parties and Roles</w:t>
        </w:r>
      </w:hyperlink>
      <w:r>
        <w:tab/>
      </w:r>
      <w:fldSimple w:instr="PAGEREF s2 \h">
        <w:r>
          <w:t xml:space="preserve">4</w:t>
        </w:r>
      </w:fldSimple>
    </w:p>
    <w:p>
      <w:pPr>
        <w:tabs>
          <w:tab w:val="right" w:pos="9360" w:leader="dot"/>
        </w:tabs>
        <w:spacing w:after="110"/>
      </w:pPr>
      <w:hyperlink w:history="1" w:anchor="s3">
        <w:r>
          <w:rPr>
            <w:color w:val="1B2A4A"/>
            <w:sz w:val="22"/>
            <w:szCs w:val="22"/>
          </w:rPr>
          <w:t xml:space="preserve">3. Strategic Context and Vision</w:t>
        </w:r>
      </w:hyperlink>
      <w:r>
        <w:tab/>
      </w:r>
      <w:fldSimple w:instr="PAGEREF s3 \h">
        <w:r>
          <w:t xml:space="preserve">5</w:t>
        </w:r>
      </w:fldSimple>
    </w:p>
    <w:p>
      <w:pPr>
        <w:tabs>
          <w:tab w:val="right" w:pos="9360" w:leader="dot"/>
        </w:tabs>
        <w:spacing w:after="110"/>
      </w:pPr>
      <w:hyperlink w:history="1" w:anchor="s4">
        <w:r>
          <w:rPr>
            <w:color w:val="1B2A4A"/>
            <w:sz w:val="22"/>
            <w:szCs w:val="22"/>
          </w:rPr>
          <w:t xml:space="preserve">4. Memo: Independent Valuation of OnQ</w:t>
        </w:r>
      </w:hyperlink>
      <w:r>
        <w:tab/>
      </w:r>
      <w:fldSimple w:instr="PAGEREF s4 \h">
        <w:r>
          <w:t xml:space="preserve">6</w:t>
        </w:r>
      </w:fldSimple>
    </w:p>
    <w:p>
      <w:pPr>
        <w:tabs>
          <w:tab w:val="right" w:pos="9360" w:leader="dot"/>
        </w:tabs>
        <w:spacing w:after="110"/>
      </w:pPr>
      <w:hyperlink w:history="1" w:anchor="s5">
        <w:r>
          <w:rPr>
            <w:color w:val="1B2A4A"/>
            <w:sz w:val="22"/>
            <w:szCs w:val="22"/>
          </w:rPr>
          <w:t xml:space="preserve">5. Memo: Non-Binding Letter of Intent</w:t>
        </w:r>
      </w:hyperlink>
      <w:r>
        <w:tab/>
      </w:r>
      <w:fldSimple w:instr="PAGEREF s5 \h">
        <w:r>
          <w:t xml:space="preserve">7</w:t>
        </w:r>
      </w:fldSimple>
    </w:p>
    <w:p>
      <w:pPr>
        <w:tabs>
          <w:tab w:val="right" w:pos="9360" w:leader="dot"/>
        </w:tabs>
        <w:spacing w:after="110"/>
      </w:pPr>
      <w:hyperlink w:history="1" w:anchor="s6">
        <w:r>
          <w:rPr>
            <w:color w:val="1B2A4A"/>
            <w:sz w:val="22"/>
            <w:szCs w:val="22"/>
          </w:rPr>
          <w:t xml:space="preserve">6. Memo: Cover Letter to Stu Armstrong</w:t>
        </w:r>
      </w:hyperlink>
      <w:r>
        <w:tab/>
      </w:r>
      <w:fldSimple w:instr="PAGEREF s6 \h">
        <w:r>
          <w:t xml:space="preserve">8</w:t>
        </w:r>
      </w:fldSimple>
    </w:p>
    <w:p>
      <w:pPr>
        <w:tabs>
          <w:tab w:val="right" w:pos="9360" w:leader="dot"/>
        </w:tabs>
        <w:spacing w:after="110"/>
      </w:pPr>
      <w:hyperlink w:history="1" w:anchor="s7">
        <w:r>
          <w:rPr>
            <w:color w:val="1B2A4A"/>
            <w:sz w:val="22"/>
            <w:szCs w:val="22"/>
          </w:rPr>
          <w:t xml:space="preserve">7. Memo: Relationship Strategy and Trust Bridge</w:t>
        </w:r>
      </w:hyperlink>
      <w:r>
        <w:tab/>
      </w:r>
      <w:fldSimple w:instr="PAGEREF s7 \h">
        <w:r>
          <w:t xml:space="preserve">9</w:t>
        </w:r>
      </w:fldSimple>
    </w:p>
    <w:p>
      <w:pPr>
        <w:tabs>
          <w:tab w:val="right" w:pos="9360" w:leader="dot"/>
        </w:tabs>
        <w:spacing w:after="110"/>
      </w:pPr>
      <w:hyperlink w:history="1" w:anchor="s8">
        <w:r>
          <w:rPr>
            <w:color w:val="1B2A4A"/>
            <w:sz w:val="22"/>
            <w:szCs w:val="22"/>
          </w:rPr>
          <w:t xml:space="preserve">8. Memo: Gökçelik CMIA</w:t>
        </w:r>
      </w:hyperlink>
      <w:r>
        <w:tab/>
      </w:r>
      <w:fldSimple w:instr="PAGEREF s8 \h">
        <w:r>
          <w:t xml:space="preserve">10</w:t>
        </w:r>
      </w:fldSimple>
    </w:p>
    <w:p>
      <w:pPr>
        <w:tabs>
          <w:tab w:val="right" w:pos="9360" w:leader="dot"/>
        </w:tabs>
        <w:spacing w:after="110"/>
      </w:pPr>
      <w:hyperlink w:history="1" w:anchor="s9">
        <w:r>
          <w:rPr>
            <w:color w:val="1B2A4A"/>
            <w:sz w:val="22"/>
            <w:szCs w:val="22"/>
          </w:rPr>
          <w:t xml:space="preserve">9. Advisory Architecture and Sequencing</w:t>
        </w:r>
      </w:hyperlink>
      <w:r>
        <w:tab/>
      </w:r>
      <w:fldSimple w:instr="PAGEREF s9 \h">
        <w:r>
          <w:t xml:space="preserve">11</w:t>
        </w:r>
      </w:fldSimple>
    </w:p>
    <w:p>
      <w:pPr>
        <w:tabs>
          <w:tab w:val="right" w:pos="9360" w:leader="dot"/>
        </w:tabs>
        <w:spacing w:after="110"/>
      </w:pPr>
      <w:hyperlink w:history="1" w:anchor="s10">
        <w:r>
          <w:rPr>
            <w:color w:val="1B2A4A"/>
            <w:sz w:val="22"/>
            <w:szCs w:val="22"/>
          </w:rPr>
          <w:t xml:space="preserve">10. Roadmap and Open Items</w:t>
        </w:r>
      </w:hyperlink>
      <w:r>
        <w:tab/>
      </w:r>
      <w:fldSimple w:instr="PAGEREF s10 \h">
        <w:r>
          <w:t xml:space="preserve">12</w:t>
        </w:r>
      </w:fldSimple>
    </w:p>
    <w:p>
      <w:pPr>
        <w:tabs>
          <w:tab w:val="right" w:pos="9360" w:leader="dot"/>
        </w:tabs>
        <w:spacing w:after="110"/>
      </w:pPr>
      <w:hyperlink w:history="1" w:anchor="s11">
        <w:r>
          <w:rPr>
            <w:color w:val="1B2A4A"/>
            <w:sz w:val="22"/>
            <w:szCs w:val="22"/>
          </w:rPr>
          <w:t xml:space="preserve">11. Principles and Learnings</w:t>
        </w:r>
      </w:hyperlink>
      <w:r>
        <w:tab/>
      </w:r>
      <w:fldSimple w:instr="PAGEREF s11 \h">
        <w:r>
          <w:t xml:space="preserve">13</w:t>
        </w:r>
      </w:fldSimple>
    </w:p>
    <w:p>
      <w:pPr>
        <w:tabs>
          <w:tab w:val="right" w:pos="9360" w:leader="dot"/>
        </w:tabs>
        <w:spacing w:after="110"/>
      </w:pPr>
      <w:hyperlink w:history="1" w:anchor="sA">
        <w:r>
          <w:rPr>
            <w:color w:val="1B2A4A"/>
            <w:sz w:val="22"/>
            <w:szCs w:val="22"/>
          </w:rPr>
          <w:t xml:space="preserve">Appendix A. Document Register</w:t>
        </w:r>
      </w:hyperlink>
      <w:r>
        <w:tab/>
      </w:r>
      <w:fldSimple w:instr="PAGEREF sA \h">
        <w:r>
          <w:t xml:space="preserve">14</w:t>
        </w:r>
      </w:fldSimple>
    </w:p>
    <w:p>
      <w:pPr>
        <w:spacing w:after="100"/>
      </w:pPr>
    </w:p>
    <w:p>
      <w:pPr>
        <w:pBdr>
          <w:top w:val="single" w:color="B8963E" w:sz="6" w:space="8"/>
        </w:pBdr>
        <w:spacing w:after="80" w:before="240"/>
      </w:pPr>
      <w:r>
        <w:rPr>
          <w:b/>
          <w:bCs/>
          <w:color w:val="1B2A4A"/>
          <w:spacing w:val="30"/>
          <w:sz w:val="18"/>
          <w:szCs w:val="18"/>
        </w:rPr>
        <w:t xml:space="preserve">RESTRICTED USE NOTICE</w:t>
      </w:r>
    </w:p>
    <w:p>
      <w:pPr>
        <w:spacing w:after="120" w:line="276"/>
      </w:pPr>
      <w:r>
        <w:rPr>
          <w:color w:val="5A6270"/>
          <w:sz w:val="18"/>
          <w:szCs w:val="18"/>
        </w:rPr>
        <w:t xml:space="preserve">This archive contains confidential strategy, valuation and relationship assessments. It is not for distribution to OnQ Solutions, Northern Edge, Gökçelik A.Ş. or any other counterparty. Sections 7 and 9 record internal assessments and information shared in confidence, and they must be removed before any external circulation. The contents summarise project records and are not a substitute for the executed or issued documents themselves.</w:t>
      </w:r>
    </w:p>
    <w:p>
      <w:pPr>
        <w:pStyle w:val="Heading1"/>
        <w:pageBreakBefore/>
      </w:pPr>
      <w:bookmarkStart w:name="s1" w:id="1"/>
      <w:r>
        <w:t xml:space="preserve">1. Executive Summary</w:t>
      </w:r>
      <w:bookmarkEnd w:id="1"/>
    </w:p>
    <w:p>
      <w:pPr>
        <w:spacing w:after="120" w:line="276"/>
      </w:pPr>
      <w:r>
        <w:t xml:space="preserve">A Level Alliances LLC (ALA) is pursuing a U.S. market entry through the acquisition of OnQ Solutions, with VMM Capital acting as ALA's buy-side strategic advisor. Paul Chaupis is the founding principal and seller of OnQ. The work has been running for approximately nine months.</w:t>
      </w:r>
    </w:p>
    <w:p>
      <w:pPr>
        <w:pStyle w:val="Heading2"/>
      </w:pPr>
      <w:r>
        <w:t xml:space="preserve">Position at a glance</w:t>
      </w:r>
    </w:p>
    <w:p>
      <w:pPr>
        <w:pStyle w:val="ListParagraph"/>
        <w:numPr>
          <w:ilvl w:val="0"/>
          <w:numId w:val="2"/>
        </w:numPr>
        <w:spacing w:after="80" w:line="276"/>
      </w:pPr>
      <w:r>
        <w:rPr>
          <w:b/>
          <w:bCs/>
        </w:rPr>
        <w:t xml:space="preserve">Valuation: </w:t>
      </w:r>
      <w:r>
        <w:t xml:space="preserve">VMM Capital's independent, probability-weighted central estimate is $18–22M, against Paul's ask of roughly $40–50M.</w:t>
      </w:r>
    </w:p>
    <w:p>
      <w:pPr>
        <w:pStyle w:val="ListParagraph"/>
        <w:numPr>
          <w:ilvl w:val="0"/>
          <w:numId w:val="2"/>
        </w:numPr>
        <w:spacing w:after="80" w:line="276"/>
      </w:pPr>
      <w:r>
        <w:rPr>
          <w:b/>
          <w:bCs/>
        </w:rPr>
        <w:t xml:space="preserve">LOI: </w:t>
      </w:r>
      <w:r>
        <w:t xml:space="preserve">Non-binding, floating price tied to the Northern Edge auction, $16M floor, 65% cash and 35% earn-out. Its stated hard expiry was September 1, 2026.</w:t>
      </w:r>
    </w:p>
    <w:p>
      <w:pPr>
        <w:pStyle w:val="ListParagraph"/>
        <w:numPr>
          <w:ilvl w:val="0"/>
          <w:numId w:val="2"/>
        </w:numPr>
        <w:spacing w:after="80" w:line="276"/>
      </w:pPr>
      <w:r>
        <w:rPr>
          <w:b/>
          <w:bCs/>
        </w:rPr>
        <w:t xml:space="preserve">Relationship: </w:t>
      </w:r>
      <w:r>
        <w:t xml:space="preserve">At a pivotal trust-building stage. The trust is incomplete rather than absent, and completing the trust bridge comes ahead of signatures or term sheets.</w:t>
      </w:r>
    </w:p>
    <w:p>
      <w:pPr>
        <w:pStyle w:val="ListParagraph"/>
        <w:numPr>
          <w:ilvl w:val="0"/>
          <w:numId w:val="2"/>
        </w:numPr>
        <w:spacing w:after="80" w:line="276"/>
      </w:pPr>
      <w:r>
        <w:rPr>
          <w:b/>
          <w:bCs/>
        </w:rPr>
        <w:t xml:space="preserve">Production partner: </w:t>
      </w:r>
      <w:r>
        <w:t xml:space="preserve">The CMIA with Gökçelik A.Ş. (v3) is fully conflict-resolved.</w:t>
      </w:r>
    </w:p>
    <w:p>
      <w:pPr>
        <w:pStyle w:val="ListParagraph"/>
        <w:numPr>
          <w:ilvl w:val="0"/>
          <w:numId w:val="2"/>
        </w:numPr>
        <w:spacing w:after="80" w:line="276"/>
      </w:pPr>
      <w:r>
        <w:rPr>
          <w:b/>
          <w:bCs/>
        </w:rPr>
        <w:t xml:space="preserve">Next gate: </w:t>
      </w:r>
      <w:r>
        <w:t xml:space="preserve">Formally engage AAG Advisory once the trust foundations are reinforced, then move from relationship-building to term sheet and execution.</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2" w:id="1"/>
      <w:r>
        <w:t xml:space="preserve">2. Parties and Roles</w:t>
      </w:r>
      <w:bookmarkEnd w:id="1"/>
    </w:p>
    <w:p>
      <w:pPr>
        <w:spacing w:after="120" w:line="276"/>
      </w:pPr>
      <w:r>
        <w:t xml:space="preserve">Roles as recorded in the project file.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700"/>
        <w:gridCol w:w="4360"/>
      </w:tblGrid>
      <w:tr>
        <w:trPr>
          <w:tblHeader/>
        </w:trPr>
        <w:tc>
          <w:tcPr>
            <w:tcW w:type="dxa" w:w="230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Party</w:t>
            </w:r>
          </w:p>
        </w:tc>
        <w:tc>
          <w:tcPr>
            <w:tcW w:type="dxa" w:w="270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Role</w:t>
            </w:r>
          </w:p>
        </w:tc>
        <w:tc>
          <w:tcPr>
            <w:tcW w:type="dxa" w:w="436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Notes</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Paul Chaupis</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Founding principal and seller, OnQ Solutions</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About 30 years of U.S. retail experience and roughly 200 direct relationships with top-tier U.S. retailers. Viewed as an essential strategic partner, not only an acquisition target. Has a personal financial exit goal and has expressed interest in a post-exit Third Space retail concept with Memedi.</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Stuart "Stu" Armstrong</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OnQ board member; paid U.S. advisor to Gökçelik A.Ş.</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Introduced Memedi to Gökçelik. Positioned to play a witness and referee role in the wider process.</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Northern Edge</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Sell-side M&amp;A advisor to Paul</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Retained to run a structured auction process for OnQ.</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AAG Advisory</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Stu's firm; intended ALA-side engagement</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Planned engagement would mirror Stu's existing arrangement with Northern Edge.</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Gökçelik A.Ş.</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Preferred execution and manufacturing partner</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Turkish retail fixture and phygital systems manufacturer, established 1976, Bursa.</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Emre Gozleveli</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Master Steward and authorized signatory</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5th Wall Phygital Elements™ platform under ALA.</w:t>
            </w:r>
          </w:p>
        </w:tc>
      </w:tr>
      <w:tr>
        <w:trPr>
          <w:cantSplit/>
        </w:trPr>
        <w:tc>
          <w:tcPr>
            <w:tcW w:type="dxa" w:w="23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Michael Forrest</w:t>
            </w:r>
          </w:p>
        </w:tc>
        <w:tc>
          <w:tcPr>
            <w:tcW w:type="dxa" w:w="27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Former CEO candidate</w:t>
            </w:r>
          </w:p>
        </w:tc>
        <w:tc>
          <w:tcPr>
            <w:tcW w:type="dxa" w:w="43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Let go after a trial period. Internal assessment: a possible source of negative remarks that may have influenced Paul's perception of Memedi. Unverified.</w:t>
            </w:r>
          </w:p>
        </w:tc>
      </w:tr>
    </w:tbl>
    <w:p>
      <w:pPr>
        <w:spacing w:before="200"/>
        <w:jc w:val="right"/>
      </w:pPr>
      <w:hyperlink w:history="1" w:anchor="index">
        <w:r>
          <w:rPr>
            <w:color w:val="B8963E"/>
            <w:sz w:val="18"/>
            <w:szCs w:val="18"/>
            <w:u w:val="single"/>
          </w:rPr>
          <w:t xml:space="preserve">↑ Return to Index</w:t>
        </w:r>
      </w:hyperlink>
    </w:p>
    <w:p>
      <w:pPr>
        <w:pStyle w:val="Heading1"/>
        <w:pageBreakBefore/>
      </w:pPr>
      <w:bookmarkStart w:name="s3" w:id="1"/>
      <w:r>
        <w:t xml:space="preserve">3. Strategic Context and Vision</w:t>
      </w:r>
      <w:bookmarkEnd w:id="1"/>
    </w:p>
    <w:p>
      <w:pPr>
        <w:pStyle w:val="Heading2"/>
      </w:pPr>
      <w:r>
        <w:t xml:space="preserve">Vision</w:t>
      </w:r>
    </w:p>
    <w:p>
      <w:pPr>
        <w:spacing w:after="120" w:line="276"/>
      </w:pPr>
      <w:r>
        <w:t xml:space="preserve">Establish ALA as first mover in the "5th Wall Phygital Elements™" market category, positioned ahead of the projected Gen Z consumer cycle of 2030.</w:t>
      </w:r>
    </w:p>
    <w:p>
      <w:pPr>
        <w:pStyle w:val="Heading2"/>
      </w:pPr>
      <w:r>
        <w:t xml:space="preserve">Three-pillar ecosystem model</w:t>
      </w:r>
    </w:p>
    <w:p>
      <w:pPr>
        <w:pStyle w:val="ListParagraph"/>
        <w:numPr>
          <w:ilvl w:val="0"/>
          <w:numId w:val="2"/>
        </w:numPr>
        <w:spacing w:after="80" w:line="276"/>
      </w:pPr>
      <w:r>
        <w:rPr>
          <w:b/>
          <w:bCs/>
        </w:rPr>
        <w:t xml:space="preserve">ALA: </w:t>
      </w:r>
      <w:r>
        <w:t xml:space="preserve">orchestrator.</w:t>
      </w:r>
    </w:p>
    <w:p>
      <w:pPr>
        <w:pStyle w:val="ListParagraph"/>
        <w:numPr>
          <w:ilvl w:val="0"/>
          <w:numId w:val="2"/>
        </w:numPr>
        <w:spacing w:after="80" w:line="276"/>
      </w:pPr>
      <w:r>
        <w:rPr>
          <w:b/>
          <w:bCs/>
        </w:rPr>
        <w:t xml:space="preserve">Paul / OnQ: </w:t>
      </w:r>
      <w:r>
        <w:t xml:space="preserve">market access.</w:t>
      </w:r>
    </w:p>
    <w:p>
      <w:pPr>
        <w:pStyle w:val="ListParagraph"/>
        <w:numPr>
          <w:ilvl w:val="0"/>
          <w:numId w:val="2"/>
        </w:numPr>
        <w:spacing w:after="80" w:line="276"/>
      </w:pPr>
      <w:r>
        <w:rPr>
          <w:b/>
          <w:bCs/>
        </w:rPr>
        <w:t xml:space="preserve">Gökçelik: </w:t>
      </w:r>
      <w:r>
        <w:t xml:space="preserve">production.</w:t>
      </w:r>
    </w:p>
    <w:p>
      <w:pPr>
        <w:pStyle w:val="Heading2"/>
      </w:pPr>
      <w:r>
        <w:t xml:space="preserve">Near-term milestones</w:t>
      </w:r>
    </w:p>
    <w:p>
      <w:pPr>
        <w:pStyle w:val="ListParagraph"/>
        <w:numPr>
          <w:ilvl w:val="0"/>
          <w:numId w:val="2"/>
        </w:numPr>
        <w:spacing w:after="80" w:line="276"/>
      </w:pPr>
      <w:r>
        <w:t xml:space="preserve">Flagship Third Space Center in Austin before Christmas 2026.</w:t>
      </w:r>
    </w:p>
    <w:p>
      <w:pPr>
        <w:pStyle w:val="ListParagraph"/>
        <w:numPr>
          <w:ilvl w:val="0"/>
          <w:numId w:val="2"/>
        </w:numPr>
        <w:spacing w:after="80" w:line="276"/>
      </w:pPr>
      <w:r>
        <w:t xml:space="preserve">OnQ's San Francisco office used as a showroom.</w:t>
      </w:r>
    </w:p>
    <w:p>
      <w:pPr>
        <w:pStyle w:val="ListParagraph"/>
        <w:numPr>
          <w:ilvl w:val="0"/>
          <w:numId w:val="2"/>
        </w:numPr>
        <w:spacing w:after="80" w:line="276"/>
      </w:pPr>
      <w:r>
        <w:t xml:space="preserve">Akron as a Proof-of-Concept center.</w:t>
      </w:r>
    </w:p>
    <w:p>
      <w:pPr>
        <w:pStyle w:val="Heading2"/>
      </w:pPr>
      <w:r>
        <w:t xml:space="preserve">Why Paul matters to the thesis</w:t>
      </w:r>
    </w:p>
    <w:p>
      <w:pPr>
        <w:spacing w:after="120" w:line="276"/>
      </w:pPr>
      <w:r>
        <w:t xml:space="preserve">Paul's network and credibility are prerequisites for attracting U.S. investor capital. This is why the relationship is treated as a strategic partnership and not only as a transaction.</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4" w:id="1"/>
      <w:r>
        <w:t xml:space="preserve">4. Memo: Independent Valuation of OnQ</w:t>
      </w:r>
      <w:bookmarkEnd w:id="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Reference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VMM-ONQ-VA-2026-001</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Issued by</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VMM Capital</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Subject</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OnQ Solutions</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Status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Produced</w:t>
            </w:r>
          </w:p>
        </w:tc>
      </w:tr>
    </w:tbl>
    <w:p>
      <w:pPr>
        <w:spacing w:after="100"/>
      </w:pPr>
    </w:p>
    <w:p>
      <w:pPr>
        <w:pStyle w:val="Heading2"/>
      </w:pPr>
      <w:r>
        <w:t xml:space="preserve">Conclusion</w:t>
      </w:r>
    </w:p>
    <w:p>
      <w:pPr>
        <w:spacing w:after="120" w:line="276"/>
      </w:pPr>
      <w:r>
        <w:t xml:space="preserve">A probability-weighted central estimate of $18–22M, built across pessimistic, realistic and optimistic scenarios. This is substantially below Paul's ask of roughly $40–50M.</w:t>
      </w:r>
    </w:p>
    <w:p>
      <w:pPr>
        <w:pStyle w:val="Heading2"/>
      </w:pPr>
      <w:r>
        <w:t xml:space="preserve">Positioning of the gap</w:t>
      </w:r>
    </w:p>
    <w:p>
      <w:pPr>
        <w:spacing w:after="120" w:line="276"/>
      </w:pPr>
      <w:r>
        <w:t xml:space="preserve">The valuation is framed as professional credibility and not as aggression. An institutionally rigorous number that sits well below the ask is considered essential for the relationship to hold over the long term.</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5" w:id="1"/>
      <w:r>
        <w:t xml:space="preserve">5. Memo: Non-Binding Letter of Intent</w:t>
      </w:r>
      <w:bookmarkEnd w:id="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Reference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ALA-ONQ-LOI-2026-001</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Type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Non-binding Letter of Intent</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Hard expiry</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September 1, 2026 (see Section 10)</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Status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Produced</w:t>
            </w:r>
          </w:p>
        </w:tc>
      </w:tr>
    </w:tbl>
    <w:p>
      <w:pPr>
        <w:spacing w:after="100"/>
      </w:pPr>
    </w:p>
    <w:p>
      <w:pPr>
        <w:pStyle w:val="Heading2"/>
      </w:pPr>
      <w:r>
        <w:t xml:space="preserve">Key terms</w:t>
      </w:r>
    </w:p>
    <w:p>
      <w:pPr>
        <w:pStyle w:val="ListParagraph"/>
        <w:numPr>
          <w:ilvl w:val="0"/>
          <w:numId w:val="2"/>
        </w:numPr>
        <w:spacing w:after="80" w:line="276"/>
      </w:pPr>
      <w:r>
        <w:t xml:space="preserve">Floating price formula tied to the Northern Edge auction process.</w:t>
      </w:r>
    </w:p>
    <w:p>
      <w:pPr>
        <w:pStyle w:val="ListParagraph"/>
        <w:numPr>
          <w:ilvl w:val="0"/>
          <w:numId w:val="2"/>
        </w:numPr>
        <w:spacing w:after="80" w:line="276"/>
      </w:pPr>
      <w:r>
        <w:t xml:space="preserve">Strategic premium multiplier.</w:t>
      </w:r>
    </w:p>
    <w:p>
      <w:pPr>
        <w:pStyle w:val="ListParagraph"/>
        <w:numPr>
          <w:ilvl w:val="0"/>
          <w:numId w:val="2"/>
        </w:numPr>
        <w:spacing w:after="80" w:line="276"/>
      </w:pPr>
      <w:r>
        <w:t xml:space="preserve">Consideration of 65% cash and 35% earn-out.</w:t>
      </w:r>
    </w:p>
    <w:p>
      <w:pPr>
        <w:pStyle w:val="ListParagraph"/>
        <w:numPr>
          <w:ilvl w:val="0"/>
          <w:numId w:val="2"/>
        </w:numPr>
        <w:spacing w:after="80" w:line="276"/>
      </w:pPr>
      <w:r>
        <w:t xml:space="preserve">Floor price of $16M.</w:t>
      </w:r>
    </w:p>
    <w:p>
      <w:pPr>
        <w:pStyle w:val="Heading2"/>
      </w:pPr>
      <w:r>
        <w:t xml:space="preserve">Relation to the valuation</w:t>
      </w:r>
    </w:p>
    <w:p>
      <w:pPr>
        <w:spacing w:after="120" w:line="276"/>
      </w:pPr>
      <w:r>
        <w:t xml:space="preserve">The $16M floor sits below the $18–22M central estimate, and the floating formula lets the final price follow the auction outcome rather than fixing a number in advance.</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6" w:id="1"/>
      <w:r>
        <w:t xml:space="preserve">6. Memo: Cover Letter to Stu Armstrong</w:t>
      </w:r>
      <w:bookmarkEnd w:id="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Addressee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Stuart "Stu" Armstrong</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Purpose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Contextualise the transaction, Stu's role and ALA's vision</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Status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Produced</w:t>
            </w:r>
          </w:p>
        </w:tc>
      </w:tr>
    </w:tbl>
    <w:p>
      <w:pPr>
        <w:spacing w:after="100"/>
      </w:pPr>
    </w:p>
    <w:p>
      <w:pPr>
        <w:spacing w:after="120" w:line="276"/>
      </w:pPr>
      <w:r>
        <w:t xml:space="preserve">The letter explains the transaction and Stu's place in it, and sets out ALA's wider vision. It supports the planned sequencing in which AAG Advisory is engaged once trust foundations are in place (see Section 9).</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7" w:id="1"/>
      <w:r>
        <w:t xml:space="preserve">7. Memo: Relationship Strategy and Trust Bridge</w:t>
      </w:r>
      <w:bookmarkEnd w:id="1"/>
    </w:p>
    <w:p>
      <w:pPr>
        <w:spacing w:after="120" w:line="276"/>
      </w:pPr>
      <w:r>
        <w:rPr>
          <w:b/>
          <w:bCs/>
          <w:color w:val="A33A2A"/>
        </w:rPr>
        <w:t xml:space="preserve">INTERNAL ONLY. </w:t>
      </w:r>
      <w:r>
        <w:rPr>
          <w:color w:val="5A6270"/>
        </w:rPr>
        <w:t xml:space="preserve">This section records private assessments and confidences. Remove before any external circulation.</w:t>
      </w:r>
    </w:p>
    <w:p>
      <w:pPr>
        <w:pStyle w:val="Heading2"/>
      </w:pPr>
      <w:r>
        <w:t xml:space="preserve">Current state</w:t>
      </w:r>
    </w:p>
    <w:p>
      <w:pPr>
        <w:spacing w:after="120" w:line="276"/>
      </w:pPr>
      <w:r>
        <w:t xml:space="preserve">Paul likes Memedi personally but appears to hold an unresolved hesitation. The likely causes are Memedi's lack of a U.S. track record and possible influence from Michael Forrest's departure. The challenge is incomplete trust, not absence of trust.</w:t>
      </w:r>
    </w:p>
    <w:p>
      <w:pPr>
        <w:pStyle w:val="Heading2"/>
      </w:pPr>
      <w:r>
        <w:t xml:space="preserve">Immediate priority</w:t>
      </w:r>
    </w:p>
    <w:p>
      <w:pPr>
        <w:spacing w:after="120" w:line="276"/>
      </w:pPr>
      <w:r>
        <w:t xml:space="preserve">Complete the trust bridge with Paul before pursuing signatures or term sheets. Premature transactional moves would undermine the long-term partnership.</w:t>
      </w:r>
    </w:p>
    <w:p>
      <w:pPr>
        <w:pStyle w:val="Heading2"/>
      </w:pPr>
      <w:r>
        <w:t xml:space="preserve">Approach</w:t>
      </w:r>
    </w:p>
    <w:p>
      <w:pPr>
        <w:pStyle w:val="ListParagraph"/>
        <w:numPr>
          <w:ilvl w:val="0"/>
          <w:numId w:val="2"/>
        </w:numPr>
        <w:spacing w:after="80" w:line="276"/>
      </w:pPr>
      <w:r>
        <w:rPr>
          <w:b/>
          <w:bCs/>
        </w:rPr>
        <w:t xml:space="preserve">Name vulnerability first. </w:t>
      </w:r>
      <w:r>
        <w:t xml:space="preserve">Memedi names his own perceived weaknesses (U.S. track record, a different business framework) before Paul raises them, which turns potential objections into shared acknowledgment.</w:t>
      </w:r>
    </w:p>
    <w:p>
      <w:pPr>
        <w:pStyle w:val="ListParagraph"/>
        <w:numPr>
          <w:ilvl w:val="0"/>
          <w:numId w:val="2"/>
        </w:numPr>
        <w:spacing w:after="80" w:line="276"/>
      </w:pPr>
      <w:r>
        <w:rPr>
          <w:b/>
          <w:bCs/>
        </w:rPr>
        <w:t xml:space="preserve">Insider context. </w:t>
      </w:r>
      <w:r>
        <w:t xml:space="preserve">Paul's private financial exit motivations were shared in confidence, and workshop-level knowledge of both parties informs the negotiation approach.</w:t>
      </w:r>
    </w:p>
    <w:p>
      <w:pPr>
        <w:pStyle w:val="ListParagraph"/>
        <w:numPr>
          <w:ilvl w:val="0"/>
          <w:numId w:val="2"/>
        </w:numPr>
        <w:spacing w:after="80" w:line="276"/>
      </w:pPr>
      <w:r>
        <w:rPr>
          <w:b/>
          <w:bCs/>
        </w:rPr>
        <w:t xml:space="preserve">Valuation realism. </w:t>
      </w:r>
      <w:r>
        <w:t xml:space="preserve">The independent valuation supports credibility rather than undermining the relationship.</w:t>
      </w:r>
    </w:p>
    <w:p>
      <w:pPr>
        <w:pStyle w:val="Heading2"/>
      </w:pPr>
      <w:r>
        <w:t xml:space="preserve">Opportunity beyond the deal</w:t>
      </w:r>
    </w:p>
    <w:p>
      <w:pPr>
        <w:spacing w:after="120" w:line="276"/>
      </w:pPr>
      <w:r>
        <w:t xml:space="preserve">Paul has expressed interest in collaborating on a Third Space retail concept after his exit.</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8" w:id="1"/>
      <w:r>
        <w:t xml:space="preserve">8. Memo: Gökçelik CMIA</w:t>
      </w:r>
      <w:bookmarkEnd w:id="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Reference</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ALA-GCK-CMIA-2025-001, version 3</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Parties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ALA and Gökçelik A.Ş.</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Governing law</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Nevada</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Disputes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JAMS arbitration seated in Las Vegas</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Target</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200 locations within a 3-year deployment plan</w:t>
            </w:r>
          </w:p>
        </w:tc>
      </w:tr>
      <w:tr>
        <w:trPr>
          <w:cantSplit/>
        </w:trPr>
        <w:tc>
          <w:tcPr>
            <w:tcW w:type="dxa" w:w="22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color w:val="1B2A4A"/>
                <w:sz w:val="19"/>
                <w:szCs w:val="19"/>
              </w:rPr>
              <w:t xml:space="preserve">Status</w:t>
            </w:r>
          </w:p>
        </w:tc>
        <w:tc>
          <w:tcPr>
            <w:tcW w:type="dxa" w:w="71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sz w:val="19"/>
                <w:szCs w:val="19"/>
              </w:rPr>
              <w:t xml:space="preserve">Fully conflict-resolved</w:t>
            </w:r>
          </w:p>
        </w:tc>
      </w:tr>
    </w:tbl>
    <w:p>
      <w:pPr>
        <w:spacing w:after="100"/>
      </w:pPr>
    </w:p>
    <w:p>
      <w:pPr>
        <w:pStyle w:val="Heading2"/>
      </w:pPr>
      <w:r>
        <w:t xml:space="preserve">Dual-track capital and IP framework</w:t>
      </w:r>
    </w:p>
    <w:p>
      <w:pPr>
        <w:pStyle w:val="ListParagraph"/>
        <w:numPr>
          <w:ilvl w:val="0"/>
          <w:numId w:val="2"/>
        </w:numPr>
        <w:spacing w:after="80" w:line="276"/>
      </w:pPr>
      <w:r>
        <w:t xml:space="preserve">ALA financing results in full IP ownership.</w:t>
      </w:r>
    </w:p>
    <w:p>
      <w:pPr>
        <w:pStyle w:val="ListParagraph"/>
        <w:numPr>
          <w:ilvl w:val="0"/>
          <w:numId w:val="2"/>
        </w:numPr>
        <w:spacing w:after="80" w:line="276"/>
      </w:pPr>
      <w:r>
        <w:t xml:space="preserve">Gökçelik in-kind contributions (Demo, Pilot, PoC) result in vested IP participation rights.</w:t>
      </w:r>
    </w:p>
    <w:p>
      <w:pPr>
        <w:pStyle w:val="Heading2"/>
      </w:pPr>
      <w:r>
        <w:t xml:space="preserve">Conflict resolution</w:t>
      </w:r>
    </w:p>
    <w:p>
      <w:pPr>
        <w:spacing w:after="120" w:line="276"/>
      </w:pPr>
      <w:r>
        <w:t xml:space="preserve">Ten structural issues were addressed. The most critical was the contradiction between ALA's absolute IP ownership clauses and Gökçelik's IP participation right, resolved through an express IP carve-out.</w:t>
      </w:r>
    </w:p>
    <w:p>
      <w:pPr>
        <w:pStyle w:val="Heading2"/>
      </w:pPr>
      <w:r>
        <w:t xml:space="preserve">Fallback manufacturers tracked</w:t>
      </w:r>
    </w:p>
    <w:p>
      <w:pPr>
        <w:spacing w:after="120" w:line="276"/>
      </w:pPr>
      <w:r>
        <w:t xml:space="preserve">WOW Display, POPAI Global and Leadshow Display.</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9" w:id="1"/>
      <w:r>
        <w:t xml:space="preserve">9. Advisory Architecture and Sequencing</w:t>
      </w:r>
      <w:bookmarkEnd w:id="1"/>
    </w:p>
    <w:p>
      <w:pPr>
        <w:spacing w:after="120" w:line="276"/>
      </w:pPr>
      <w:r>
        <w:rPr>
          <w:b/>
          <w:bCs/>
          <w:color w:val="A33A2A"/>
        </w:rPr>
        <w:t xml:space="preserve">INTERNAL ONLY. </w:t>
      </w:r>
      <w:r>
        <w:rPr>
          <w:color w:val="5A6270"/>
        </w:rPr>
        <w:t xml:space="preserve">Sequencing intent is not for counterparties.</w:t>
      </w:r>
    </w:p>
    <w:p>
      <w:pPr>
        <w:pStyle w:val="ListParagraph"/>
        <w:numPr>
          <w:ilvl w:val="0"/>
          <w:numId w:val="2"/>
        </w:numPr>
        <w:spacing w:after="80" w:line="276"/>
      </w:pPr>
      <w:r>
        <w:t xml:space="preserve">Northern Edge is Paul's sell-side M&amp;A advisor and runs the structured auction for OnQ.</w:t>
      </w:r>
    </w:p>
    <w:p>
      <w:pPr>
        <w:pStyle w:val="ListParagraph"/>
        <w:numPr>
          <w:ilvl w:val="0"/>
          <w:numId w:val="2"/>
        </w:numPr>
        <w:spacing w:after="80" w:line="276"/>
      </w:pPr>
      <w:r>
        <w:t xml:space="preserve">Stu Armstrong sits on the OnQ board, advises Gökçelik, and has an existing arrangement with Northern Edge.</w:t>
      </w:r>
    </w:p>
    <w:p>
      <w:pPr>
        <w:pStyle w:val="ListParagraph"/>
        <w:numPr>
          <w:ilvl w:val="0"/>
          <w:numId w:val="2"/>
        </w:numPr>
        <w:spacing w:after="80" w:line="276"/>
      </w:pPr>
      <w:r>
        <w:t xml:space="preserve">ALA intends to engage Stu's firm, AAG Advisory, mirroring that arrangement.</w:t>
      </w:r>
    </w:p>
    <w:p>
      <w:pPr>
        <w:pStyle w:val="ListParagraph"/>
        <w:numPr>
          <w:ilvl w:val="0"/>
          <w:numId w:val="2"/>
        </w:numPr>
        <w:spacing w:after="80" w:line="276"/>
      </w:pPr>
      <w:r>
        <w:t xml:space="preserve">The ask is deliberately sequenced for the right moment, after the trust foundations are reinforced.</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10" w:id="1"/>
      <w:r>
        <w:t xml:space="preserve">10. Roadmap and Open Items</w:t>
      </w:r>
      <w:bookmarkEnd w:id="1"/>
    </w:p>
    <w:p>
      <w:pPr>
        <w:pStyle w:val="Heading2"/>
      </w:pPr>
      <w:r>
        <w:t xml:space="preserve">On the horizon</w:t>
      </w:r>
    </w:p>
    <w:p>
      <w:pPr>
        <w:pStyle w:val="ListParagraph"/>
        <w:numPr>
          <w:ilvl w:val="0"/>
          <w:numId w:val="2"/>
        </w:numPr>
        <w:spacing w:after="80" w:line="276"/>
      </w:pPr>
      <w:r>
        <w:t xml:space="preserve">Formally engage AAG Advisory.</w:t>
      </w:r>
    </w:p>
    <w:p>
      <w:pPr>
        <w:pStyle w:val="ListParagraph"/>
        <w:numPr>
          <w:ilvl w:val="0"/>
          <w:numId w:val="2"/>
        </w:numPr>
        <w:spacing w:after="80" w:line="276"/>
      </w:pPr>
      <w:r>
        <w:t xml:space="preserve">Progress from relationship-building to term sheet and transaction execution with Paul and OnQ once the trust bridge is complete.</w:t>
      </w:r>
    </w:p>
    <w:p>
      <w:pPr>
        <w:pStyle w:val="ListParagraph"/>
        <w:numPr>
          <w:ilvl w:val="0"/>
          <w:numId w:val="2"/>
        </w:numPr>
        <w:spacing w:after="80" w:line="276"/>
      </w:pPr>
      <w:r>
        <w:t xml:space="preserve">Onboard Gökçelik as production partner under the CMIA framework.</w:t>
      </w:r>
    </w:p>
    <w:p>
      <w:pPr>
        <w:pStyle w:val="ListParagraph"/>
        <w:numPr>
          <w:ilvl w:val="0"/>
          <w:numId w:val="2"/>
        </w:numPr>
        <w:spacing w:after="80" w:line="276"/>
      </w:pPr>
      <w:r>
        <w:t xml:space="preserve">Develop the Third Space Center concept toward the Austin milestone before Christmas 2026.</w:t>
      </w:r>
    </w:p>
    <w:p>
      <w:pPr>
        <w:pStyle w:val="ListParagraph"/>
        <w:numPr>
          <w:ilvl w:val="0"/>
          <w:numId w:val="2"/>
        </w:numPr>
        <w:spacing w:after="80" w:line="276"/>
      </w:pPr>
      <w:r>
        <w:t xml:space="preserve">Attract U.S. investor funds, contingent on Paul's network and credibility being in place.</w:t>
      </w:r>
    </w:p>
    <w:p>
      <w:pPr>
        <w:pStyle w:val="Heading2"/>
      </w:pPr>
      <w:r>
        <w:t xml:space="preserve">Archive notes: items to confirm</w:t>
      </w:r>
    </w:p>
    <w:p>
      <w:pPr>
        <w:spacing w:after="120" w:line="276"/>
      </w:pPr>
      <w:r>
        <w:t xml:space="preserve">The project records do not capture the following. They should be confirmed before this archive is relied upon.</w:t>
      </w:r>
    </w:p>
    <w:p>
      <w:pPr>
        <w:pStyle w:val="ListParagraph"/>
        <w:numPr>
          <w:ilvl w:val="0"/>
          <w:numId w:val="2"/>
        </w:numPr>
        <w:spacing w:after="80" w:line="276"/>
      </w:pPr>
      <w:r>
        <w:t xml:space="preserve">The LOI's hard expiry of September 1, 2026 has passed as of the date of this archive. Whether it was extended, replaced or lapsed is not recorded.</w:t>
      </w:r>
    </w:p>
    <w:p>
      <w:pPr>
        <w:pStyle w:val="ListParagraph"/>
        <w:numPr>
          <w:ilvl w:val="0"/>
          <w:numId w:val="2"/>
        </w:numPr>
        <w:spacing w:after="80" w:line="276"/>
      </w:pPr>
      <w:r>
        <w:t xml:space="preserve">The outcome or timetable of the Northern Edge auction is not recorded.</w:t>
      </w:r>
    </w:p>
    <w:p>
      <w:pPr>
        <w:pStyle w:val="ListParagraph"/>
        <w:numPr>
          <w:ilvl w:val="0"/>
          <w:numId w:val="2"/>
        </w:numPr>
        <w:spacing w:after="80" w:line="276"/>
      </w:pPr>
      <w:r>
        <w:t xml:space="preserve">Issue dates for the valuation, LOI and cover letter are not recorded.</w:t>
      </w:r>
    </w:p>
    <w:p>
      <w:pPr>
        <w:pStyle w:val="ListParagraph"/>
        <w:numPr>
          <w:ilvl w:val="0"/>
          <w:numId w:val="2"/>
        </w:numPr>
        <w:spacing w:after="80" w:line="276"/>
      </w:pPr>
      <w:r>
        <w:t xml:space="preserve">The records spell the name "Chaupis". Please confirm the correct spelling of the surname.</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11" w:id="1"/>
      <w:r>
        <w:t xml:space="preserve">11. Principles and Learnings</w:t>
      </w:r>
      <w:bookmarkEnd w:id="1"/>
    </w:p>
    <w:p>
      <w:pPr>
        <w:pStyle w:val="ListParagraph"/>
        <w:numPr>
          <w:ilvl w:val="0"/>
          <w:numId w:val="2"/>
        </w:numPr>
        <w:spacing w:after="80" w:line="276"/>
      </w:pPr>
      <w:r>
        <w:rPr>
          <w:b/>
          <w:bCs/>
        </w:rPr>
        <w:t xml:space="preserve">Trust before transactions. </w:t>
      </w:r>
      <w:r>
        <w:t xml:space="preserve">Signatures were deliberately deprioritized in favor of completing the trust relationship with Paul.</w:t>
      </w:r>
    </w:p>
    <w:p>
      <w:pPr>
        <w:pStyle w:val="ListParagraph"/>
        <w:numPr>
          <w:ilvl w:val="0"/>
          <w:numId w:val="2"/>
        </w:numPr>
        <w:spacing w:after="80" w:line="276"/>
      </w:pPr>
      <w:r>
        <w:rPr>
          <w:b/>
          <w:bCs/>
        </w:rPr>
        <w:t xml:space="preserve">Insider context is strategic leverage. </w:t>
      </w:r>
      <w:r>
        <w:t xml:space="preserve">Direct knowledge of the parties informs the approach in ways external advisors cannot match.</w:t>
      </w:r>
    </w:p>
    <w:p>
      <w:pPr>
        <w:pStyle w:val="ListParagraph"/>
        <w:numPr>
          <w:ilvl w:val="0"/>
          <w:numId w:val="2"/>
        </w:numPr>
        <w:spacing w:after="80" w:line="276"/>
      </w:pPr>
      <w:r>
        <w:rPr>
          <w:b/>
          <w:bCs/>
        </w:rPr>
        <w:t xml:space="preserve">Valuation realism as credibility. </w:t>
      </w:r>
      <w:r>
        <w:t xml:space="preserve">An independent number well below the ask protects the long-term relationship.</w:t>
      </w:r>
    </w:p>
    <w:p>
      <w:pPr>
        <w:pStyle w:val="ListParagraph"/>
        <w:numPr>
          <w:ilvl w:val="0"/>
          <w:numId w:val="2"/>
        </w:numPr>
        <w:spacing w:after="80" w:line="276"/>
      </w:pPr>
      <w:r>
        <w:rPr>
          <w:b/>
          <w:bCs/>
        </w:rPr>
        <w:t xml:space="preserve">Name vulnerability proactively. </w:t>
      </w:r>
      <w:r>
        <w:t xml:space="preserve">Raising perceived weaknesses first converts objections into shared acknowledgment.</w:t>
      </w:r>
    </w:p>
    <w:p>
      <w:pPr>
        <w:pStyle w:val="ListParagraph"/>
        <w:numPr>
          <w:ilvl w:val="0"/>
          <w:numId w:val="2"/>
        </w:numPr>
        <w:spacing w:after="80" w:line="276"/>
      </w:pPr>
      <w:r>
        <w:rPr>
          <w:b/>
          <w:bCs/>
        </w:rPr>
        <w:t xml:space="preserve">IP framework clarity. </w:t>
      </w:r>
      <w:r>
        <w:t xml:space="preserve">Financing equals full IP ownership; in-kind contribution equals participation rights. The two tracks need explicit structural separation.</w:t>
      </w:r>
    </w:p>
    <w:p>
      <w:pPr>
        <w:spacing w:before="200"/>
        <w:jc w:val="right"/>
      </w:pPr>
      <w:hyperlink w:history="1" w:anchor="index">
        <w:r>
          <w:rPr>
            <w:color w:val="B8963E"/>
            <w:sz w:val="18"/>
            <w:szCs w:val="18"/>
            <w:u w:val="single"/>
          </w:rPr>
          <w:t xml:space="preserve">↑ Return to Index</w:t>
        </w:r>
      </w:hyperlink>
    </w:p>
    <w:p>
      <w:pPr>
        <w:pStyle w:val="Heading1"/>
        <w:pageBreakBefore/>
      </w:pPr>
      <w:bookmarkStart w:name="sA" w:id="1"/>
      <w:r>
        <w:t xml:space="preserve">Appendix A. Document Register</w:t>
      </w:r>
      <w:bookmarkEnd w:id="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900"/>
        <w:gridCol w:w="2000"/>
        <w:gridCol w:w="2060"/>
      </w:tblGrid>
      <w:tr>
        <w:trPr>
          <w:tblHeader/>
        </w:trPr>
        <w:tc>
          <w:tcPr>
            <w:tcW w:type="dxa" w:w="240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Reference</w:t>
            </w:r>
          </w:p>
        </w:tc>
        <w:tc>
          <w:tcPr>
            <w:tcW w:type="dxa" w:w="290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Document</w:t>
            </w:r>
          </w:p>
        </w:tc>
        <w:tc>
          <w:tcPr>
            <w:tcW w:type="dxa" w:w="200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Counterparty</w:t>
            </w:r>
          </w:p>
        </w:tc>
        <w:tc>
          <w:tcPr>
            <w:tcW w:type="dxa" w:w="2060"/>
            <w:tcBorders>
              <w:top w:val="single" w:color="CFC8B4" w:sz="4"/>
              <w:left w:val="single" w:color="CFC8B4" w:sz="4"/>
              <w:bottom w:val="single" w:color="CFC8B4" w:sz="4"/>
              <w:right w:val="single" w:color="CFC8B4" w:sz="4"/>
            </w:tcBorders>
            <w:shd w:fill="1B2A4A" w:color="auto" w:val="clear"/>
            <w:tcMar>
              <w:top w:type="dxa" w:w="70"/>
              <w:left w:type="dxa" w:w="110"/>
              <w:bottom w:type="dxa" w:w="70"/>
              <w:right w:type="dxa" w:w="110"/>
            </w:tcMar>
          </w:tcPr>
          <w:p>
            <w:pPr>
              <w:spacing w:after="0" w:line="252"/>
            </w:pPr>
            <w:r>
              <w:rPr>
                <w:b/>
                <w:bCs/>
                <w:color w:val="FFFFFF"/>
                <w:sz w:val="19"/>
                <w:szCs w:val="19"/>
              </w:rPr>
              <w:t xml:space="preserve">Status per records</w:t>
            </w:r>
          </w:p>
        </w:tc>
      </w:tr>
      <w:tr>
        <w:trPr>
          <w:cantSplit/>
        </w:trPr>
        <w:tc>
          <w:tcPr>
            <w:tcW w:type="dxa" w:w="24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VMM-ONQ-VA-2026-001</w:t>
            </w:r>
          </w:p>
        </w:tc>
        <w:tc>
          <w:tcPr>
            <w:tcW w:type="dxa" w:w="29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Independent valuation of OnQ</w:t>
            </w:r>
          </w:p>
        </w:tc>
        <w:tc>
          <w:tcPr>
            <w:tcW w:type="dxa" w:w="20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None (internal)</w:t>
            </w:r>
          </w:p>
        </w:tc>
        <w:tc>
          <w:tcPr>
            <w:tcW w:type="dxa" w:w="20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Produced</w:t>
            </w:r>
          </w:p>
        </w:tc>
      </w:tr>
      <w:tr>
        <w:trPr>
          <w:cantSplit/>
        </w:trPr>
        <w:tc>
          <w:tcPr>
            <w:tcW w:type="dxa" w:w="24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ALA-ONQ-LOI-2026-001</w:t>
            </w:r>
          </w:p>
        </w:tc>
        <w:tc>
          <w:tcPr>
            <w:tcW w:type="dxa" w:w="29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Non-binding Letter of Intent</w:t>
            </w:r>
          </w:p>
        </w:tc>
        <w:tc>
          <w:tcPr>
            <w:tcW w:type="dxa" w:w="20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OnQ / Paul Chaupis</w:t>
            </w:r>
          </w:p>
        </w:tc>
        <w:tc>
          <w:tcPr>
            <w:tcW w:type="dxa" w:w="20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Produced. Hard expiry Sept 1, 2026</w:t>
            </w:r>
          </w:p>
        </w:tc>
      </w:tr>
      <w:tr>
        <w:trPr>
          <w:cantSplit/>
        </w:trPr>
        <w:tc>
          <w:tcPr>
            <w:tcW w:type="dxa" w:w="24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No reference recorded</w:t>
            </w:r>
          </w:p>
        </w:tc>
        <w:tc>
          <w:tcPr>
            <w:tcW w:type="dxa" w:w="29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Cover letter to Stu Armstrong</w:t>
            </w:r>
          </w:p>
        </w:tc>
        <w:tc>
          <w:tcPr>
            <w:tcW w:type="dxa" w:w="20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Stu Armstrong</w:t>
            </w:r>
          </w:p>
        </w:tc>
        <w:tc>
          <w:tcPr>
            <w:tcW w:type="dxa" w:w="20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Produced</w:t>
            </w:r>
          </w:p>
        </w:tc>
      </w:tr>
      <w:tr>
        <w:trPr>
          <w:cantSplit/>
        </w:trPr>
        <w:tc>
          <w:tcPr>
            <w:tcW w:type="dxa" w:w="24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ALA-GCK-CMIA-2025-001 v3</w:t>
            </w:r>
          </w:p>
        </w:tc>
        <w:tc>
          <w:tcPr>
            <w:tcW w:type="dxa" w:w="29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Strategic collaboration agreement (CMIA)</w:t>
            </w:r>
          </w:p>
        </w:tc>
        <w:tc>
          <w:tcPr>
            <w:tcW w:type="dxa" w:w="20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Gökçelik A.Ş.</w:t>
            </w:r>
          </w:p>
        </w:tc>
        <w:tc>
          <w:tcPr>
            <w:tcW w:type="dxa" w:w="20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Fully conflict-resolved</w:t>
            </w:r>
          </w:p>
        </w:tc>
      </w:tr>
      <w:tr>
        <w:trPr>
          <w:cantSplit/>
        </w:trPr>
        <w:tc>
          <w:tcPr>
            <w:tcW w:type="dxa" w:w="2400"/>
            <w:tcBorders>
              <w:top w:val="single" w:color="CFC8B4" w:sz="4"/>
              <w:left w:val="single" w:color="CFC8B4" w:sz="4"/>
              <w:bottom w:val="single" w:color="CFC8B4" w:sz="4"/>
              <w:right w:val="single" w:color="CFC8B4" w:sz="4"/>
            </w:tcBorders>
            <w:shd w:fill="F3EFE3" w:color="auto" w:val="clear"/>
            <w:tcMar>
              <w:top w:type="dxa" w:w="70"/>
              <w:left w:type="dxa" w:w="110"/>
              <w:bottom w:type="dxa" w:w="70"/>
              <w:right w:type="dxa" w:w="110"/>
            </w:tcMar>
          </w:tcPr>
          <w:p>
            <w:pPr>
              <w:spacing w:after="0" w:line="252"/>
            </w:pPr>
            <w:r>
              <w:rPr>
                <w:b/>
                <w:bCs/>
                <w:sz w:val="19"/>
                <w:szCs w:val="19"/>
              </w:rPr>
              <w:t xml:space="preserve">VMM-ONQ-ARC-2026-001</w:t>
            </w:r>
          </w:p>
        </w:tc>
        <w:tc>
          <w:tcPr>
            <w:tcW w:type="dxa" w:w="29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This archive</w:t>
            </w:r>
          </w:p>
        </w:tc>
        <w:tc>
          <w:tcPr>
            <w:tcW w:type="dxa" w:w="200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None (internal)</w:t>
            </w:r>
          </w:p>
        </w:tc>
        <w:tc>
          <w:tcPr>
            <w:tcW w:type="dxa" w:w="2060"/>
            <w:tcBorders>
              <w:top w:val="single" w:color="CFC8B4" w:sz="4"/>
              <w:left w:val="single" w:color="CFC8B4" w:sz="4"/>
              <w:bottom w:val="single" w:color="CFC8B4" w:sz="4"/>
              <w:right w:val="single" w:color="CFC8B4" w:sz="4"/>
            </w:tcBorders>
            <w:tcMar>
              <w:top w:type="dxa" w:w="70"/>
              <w:left w:type="dxa" w:w="110"/>
              <w:bottom w:type="dxa" w:w="70"/>
              <w:right w:type="dxa" w:w="110"/>
            </w:tcMar>
          </w:tcPr>
          <w:p>
            <w:pPr>
              <w:spacing w:after="0" w:line="252"/>
            </w:pPr>
            <w:r>
              <w:rPr>
                <w:b w:val="false"/>
                <w:bCs w:val="false"/>
                <w:sz w:val="19"/>
                <w:szCs w:val="19"/>
              </w:rPr>
              <w:t xml:space="preserve">Issued October 2, 2026</w:t>
            </w:r>
          </w:p>
        </w:tc>
      </w:tr>
    </w:tbl>
    <w:p>
      <w:pPr>
        <w:spacing w:before="200"/>
        <w:jc w:val="right"/>
      </w:pPr>
      <w:hyperlink w:history="1" w:anchor="index">
        <w:r>
          <w:rPr>
            <w:color w:val="B8963E"/>
            <w:sz w:val="18"/>
            <w:szCs w:val="18"/>
            <w:u w:val="single"/>
          </w:rPr>
          <w:t xml:space="preserve">↑ Return to Index</w:t>
        </w:r>
      </w:hyperlink>
    </w:p>
    <w:sectPr>
      <w:headerReference w:type="default" r:id="rId7"/>
      <w:headerReference w:type="first" r:id="rId8"/>
      <w:footerReference w:type="default" r:id="rId9"/>
      <w:footerReference w:type="first" r:id="rId10"/>
      <w:pgSz w:w="12240" w:h="15840" w:orient="portrait"/>
      <w:pgMar w:top="1440" w:right="1440" w:bottom="1300" w:left="144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963E" w:sz="6" w:space="4"/>
      </w:pBdr>
      <w:tabs>
        <w:tab w:val="right" w:pos="9360"/>
      </w:tabs>
    </w:pPr>
    <w:r>
      <w:rPr>
        <w:color w:val="5A6270"/>
        <w:sz w:val="16"/>
        <w:szCs w:val="16"/>
      </w:rPr>
      <w:t xml:space="preserve">VMM-ONQ-ARC-2026-001  |  October 2, 2026</w:t>
    </w:r>
    <w:r>
      <w:tab/>
    </w:r>
    <w:r>
      <w:rPr>
        <w:color w:val="5A62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4"/>
      </w:pBdr>
      <w:tabs>
        <w:tab w:val="right" w:pos="9360"/>
      </w:tabs>
    </w:pPr>
    <w:r>
      <w:rPr>
        <w:b/>
        <w:bCs/>
        <w:color w:val="1B2A4A"/>
        <w:spacing w:val="30"/>
        <w:sz w:val="16"/>
        <w:szCs w:val="16"/>
      </w:rPr>
      <w:t xml:space="preserve">VMM CAPITAL</w:t>
    </w:r>
    <w:r>
      <w:tab/>
    </w:r>
    <w:r>
      <w:rPr>
        <w:color w:val="5A6270"/>
        <w:sz w:val="16"/>
        <w:szCs w:val="16"/>
      </w:rPr>
      <w:t xml:space="preserve">OnQ / Paul Chaupis Memo Archive  |  RESTRICTED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B896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B8963E" w:sz="10" w:space="6"/>
      </w:pBdr>
      <w:spacing w:after="240" w:before="0"/>
      <w:outlineLvl w:val="0"/>
    </w:pPr>
    <w:rPr>
      <w:rFonts w:ascii="Georgia" w:cs="Georgia" w:eastAsia="Georgia" w:hAnsi="Georgia"/>
      <w:b/>
      <w:bCs/>
      <w:color w:val="1B2A4A"/>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b/>
      <w:bCs/>
      <w:color w:val="1B2A4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Memo Archive: OnQ and Paul Chaupis</dc:title>
  <dc:creator>VMM Capital</dc:creator>
  <dc:description>VMM-ONQ-ARC-2026-001</dc:description>
  <cp:lastModifiedBy>Un-named</cp:lastModifiedBy>
  <cp:revision>1</cp:revision>
  <dcterms:created xsi:type="dcterms:W3CDTF">2026-10-03T02:41:01.244Z</dcterms:created>
  <dcterms:modified xsi:type="dcterms:W3CDTF">2026-10-03T02:41:01.245Z</dcterms:modified>
</cp:coreProperties>
</file>

<file path=docProps/custom.xml><?xml version="1.0" encoding="utf-8"?>
<Properties xmlns="http://schemas.openxmlformats.org/officeDocument/2006/custom-properties" xmlns:vt="http://schemas.openxmlformats.org/officeDocument/2006/docPropsVTypes"/>
</file>